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248" w:rsidRDefault="009B7248" w:rsidP="00D26C7B">
      <w:pPr>
        <w:spacing w:line="240" w:lineRule="auto"/>
        <w:rPr>
          <w:rFonts w:ascii="Times New Roman" w:hAnsi="Times New Roman" w:cs="Times New Roman"/>
          <w:b/>
          <w:sz w:val="24"/>
          <w:szCs w:val="24"/>
        </w:rPr>
      </w:pPr>
      <w:r w:rsidRPr="00C0407B">
        <w:rPr>
          <w:rFonts w:ascii="Times New Roman" w:hAnsi="Times New Roman" w:cs="Times New Roman"/>
          <w:b/>
          <w:sz w:val="24"/>
          <w:szCs w:val="24"/>
        </w:rPr>
        <w:t xml:space="preserve">Quantitative Reasoning: Basic Computation </w:t>
      </w:r>
    </w:p>
    <w:p w:rsidR="00AC2177" w:rsidRDefault="00AC2177" w:rsidP="00674C4A">
      <w:pPr>
        <w:spacing w:after="0" w:line="240" w:lineRule="auto"/>
        <w:rPr>
          <w:rFonts w:ascii="Times New Roman" w:hAnsi="Times New Roman" w:cs="Times New Roman"/>
          <w:b/>
        </w:rPr>
      </w:pPr>
      <w:r>
        <w:rPr>
          <w:rFonts w:ascii="Times New Roman" w:hAnsi="Times New Roman" w:cs="Times New Roman"/>
          <w:b/>
        </w:rPr>
        <w:t>Goals:</w:t>
      </w:r>
    </w:p>
    <w:p w:rsidR="00AC2177" w:rsidRDefault="00AC2177" w:rsidP="00674C4A">
      <w:pPr>
        <w:spacing w:after="0" w:line="240" w:lineRule="auto"/>
        <w:rPr>
          <w:rFonts w:ascii="Times New Roman" w:hAnsi="Times New Roman" w:cs="Times New Roman"/>
        </w:rPr>
      </w:pPr>
      <w:r>
        <w:rPr>
          <w:rFonts w:ascii="Times New Roman" w:hAnsi="Times New Roman" w:cs="Times New Roman"/>
        </w:rPr>
        <w:t>Students develop skills in quantitative literacy and logical reasoning, including the ability to identify valid arguments, and use mathematical models.</w:t>
      </w:r>
    </w:p>
    <w:p w:rsidR="00AC2177" w:rsidRDefault="00AC2177" w:rsidP="00674C4A">
      <w:pPr>
        <w:spacing w:after="0" w:line="240" w:lineRule="auto"/>
        <w:rPr>
          <w:rFonts w:ascii="Times New Roman" w:hAnsi="Times New Roman" w:cs="Times New Roman"/>
        </w:rPr>
      </w:pPr>
    </w:p>
    <w:p w:rsidR="00AC2177" w:rsidRDefault="00AC2177" w:rsidP="00674C4A">
      <w:pPr>
        <w:spacing w:after="0" w:line="240" w:lineRule="auto"/>
        <w:rPr>
          <w:rFonts w:ascii="Times New Roman" w:hAnsi="Times New Roman" w:cs="Times New Roman"/>
          <w:b/>
        </w:rPr>
      </w:pPr>
      <w:r>
        <w:rPr>
          <w:rFonts w:ascii="Times New Roman" w:hAnsi="Times New Roman" w:cs="Times New Roman"/>
          <w:b/>
        </w:rPr>
        <w:t>Expected Learning Outcomes:</w:t>
      </w:r>
    </w:p>
    <w:p w:rsidR="00C742EA" w:rsidRDefault="00AC2177" w:rsidP="00674C4A">
      <w:pPr>
        <w:pStyle w:val="ListParagraph"/>
        <w:numPr>
          <w:ilvl w:val="0"/>
          <w:numId w:val="2"/>
        </w:numPr>
        <w:spacing w:after="0" w:line="240" w:lineRule="auto"/>
        <w:rPr>
          <w:rFonts w:ascii="Times New Roman" w:hAnsi="Times New Roman" w:cs="Times New Roman"/>
        </w:rPr>
      </w:pPr>
      <w:r w:rsidRPr="00D26C7B">
        <w:rPr>
          <w:rFonts w:ascii="Times New Roman" w:hAnsi="Times New Roman" w:cs="Times New Roman"/>
        </w:rPr>
        <w:t>Students demonstrate computational skills and famili</w:t>
      </w:r>
      <w:r w:rsidR="00C742EA">
        <w:rPr>
          <w:rFonts w:ascii="Times New Roman" w:hAnsi="Times New Roman" w:cs="Times New Roman"/>
        </w:rPr>
        <w:t>arity with algebra and geometry.</w:t>
      </w:r>
    </w:p>
    <w:p w:rsidR="00AC2177" w:rsidRPr="00D26C7B" w:rsidRDefault="00C742EA" w:rsidP="00674C4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Students </w:t>
      </w:r>
      <w:r w:rsidR="00AC2177" w:rsidRPr="00D26C7B">
        <w:rPr>
          <w:rFonts w:ascii="Times New Roman" w:hAnsi="Times New Roman" w:cs="Times New Roman"/>
        </w:rPr>
        <w:t xml:space="preserve">apply these skills to practical problems. </w:t>
      </w:r>
    </w:p>
    <w:p w:rsidR="00AC2177" w:rsidRPr="00AC2177" w:rsidRDefault="00AC2177" w:rsidP="00674C4A">
      <w:pPr>
        <w:spacing w:after="0" w:line="240" w:lineRule="auto"/>
        <w:rPr>
          <w:rFonts w:ascii="Times New Roman" w:hAnsi="Times New Roman" w:cs="Times New Roman"/>
        </w:rPr>
      </w:pPr>
    </w:p>
    <w:p w:rsidR="009B7248" w:rsidRPr="00AC2177" w:rsidRDefault="009B7248" w:rsidP="00674C4A">
      <w:pPr>
        <w:spacing w:after="0" w:line="240" w:lineRule="auto"/>
        <w:rPr>
          <w:rFonts w:ascii="Times New Roman" w:hAnsi="Times New Roman" w:cs="Times New Roman"/>
          <w:b/>
          <w:i/>
        </w:rPr>
      </w:pPr>
      <w:r w:rsidRPr="00AC2177">
        <w:rPr>
          <w:rFonts w:ascii="Times New Roman" w:hAnsi="Times New Roman" w:cs="Times New Roman"/>
          <w:b/>
          <w:i/>
        </w:rPr>
        <w:t xml:space="preserve">Scoring Rubric: </w:t>
      </w:r>
    </w:p>
    <w:p w:rsidR="009B7248" w:rsidRPr="00C0407B" w:rsidRDefault="009B7248" w:rsidP="00674C4A">
      <w:pPr>
        <w:pStyle w:val="Default"/>
        <w:pBdr>
          <w:top w:val="single" w:sz="4" w:space="4" w:color="auto"/>
          <w:left w:val="single" w:sz="4" w:space="4" w:color="auto"/>
          <w:bottom w:val="single" w:sz="4" w:space="1" w:color="auto"/>
          <w:right w:val="single" w:sz="4" w:space="4" w:color="auto"/>
        </w:pBdr>
        <w:rPr>
          <w:bCs/>
          <w:sz w:val="22"/>
          <w:szCs w:val="22"/>
        </w:rPr>
      </w:pPr>
      <w:r w:rsidRPr="00C0407B">
        <w:rPr>
          <w:bCs/>
          <w:sz w:val="22"/>
          <w:szCs w:val="22"/>
        </w:rPr>
        <w:t xml:space="preserve">Assessment of GE Quantitative Reasoning: Basic Computation </w:t>
      </w:r>
      <w:r w:rsidR="00AC2177">
        <w:rPr>
          <w:bCs/>
          <w:sz w:val="22"/>
          <w:szCs w:val="22"/>
        </w:rPr>
        <w:t>Courses</w:t>
      </w:r>
    </w:p>
    <w:p w:rsidR="009B7248" w:rsidRPr="00C0407B" w:rsidRDefault="009B7248" w:rsidP="00674C4A">
      <w:pPr>
        <w:pStyle w:val="Default"/>
        <w:pBdr>
          <w:top w:val="single" w:sz="4" w:space="4" w:color="auto"/>
          <w:left w:val="single" w:sz="4" w:space="4" w:color="auto"/>
          <w:bottom w:val="single" w:sz="4" w:space="1" w:color="auto"/>
          <w:right w:val="single" w:sz="4" w:space="4" w:color="auto"/>
        </w:pBdr>
        <w:rPr>
          <w:bCs/>
          <w:sz w:val="22"/>
          <w:szCs w:val="22"/>
        </w:rPr>
      </w:pPr>
    </w:p>
    <w:p w:rsidR="00C0407B" w:rsidRDefault="009B7248" w:rsidP="00674C4A">
      <w:pPr>
        <w:pStyle w:val="Default"/>
        <w:pBdr>
          <w:top w:val="single" w:sz="4" w:space="4" w:color="auto"/>
          <w:left w:val="single" w:sz="4" w:space="4" w:color="auto"/>
          <w:bottom w:val="single" w:sz="4" w:space="1" w:color="auto"/>
          <w:right w:val="single" w:sz="4" w:space="4" w:color="auto"/>
        </w:pBdr>
        <w:rPr>
          <w:bCs/>
          <w:sz w:val="22"/>
          <w:szCs w:val="22"/>
        </w:rPr>
      </w:pPr>
      <w:r w:rsidRPr="00C0407B">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C0407B" w:rsidRPr="00C0407B" w:rsidRDefault="00C0407B" w:rsidP="00674C4A">
      <w:pPr>
        <w:spacing w:line="240" w:lineRule="auto"/>
      </w:pPr>
    </w:p>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813"/>
        <w:gridCol w:w="1887"/>
        <w:gridCol w:w="1845"/>
        <w:gridCol w:w="1864"/>
      </w:tblGrid>
      <w:tr w:rsidR="009B7248" w:rsidRPr="00C0407B" w:rsidTr="005673A3">
        <w:tc>
          <w:tcPr>
            <w:tcW w:w="2167" w:type="dxa"/>
          </w:tcPr>
          <w:p w:rsidR="009B7248" w:rsidRPr="00C0407B" w:rsidRDefault="009B7248" w:rsidP="00674C4A">
            <w:pPr>
              <w:spacing w:after="0"/>
              <w:rPr>
                <w:rFonts w:ascii="Times New Roman" w:hAnsi="Times New Roman" w:cs="Times New Roman"/>
              </w:rPr>
            </w:pPr>
          </w:p>
        </w:tc>
        <w:tc>
          <w:tcPr>
            <w:tcW w:w="1813" w:type="dxa"/>
          </w:tcPr>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Capstone</w:t>
            </w:r>
          </w:p>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(4)</w:t>
            </w:r>
          </w:p>
        </w:tc>
        <w:tc>
          <w:tcPr>
            <w:tcW w:w="1887" w:type="dxa"/>
          </w:tcPr>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 xml:space="preserve">Milestone </w:t>
            </w:r>
          </w:p>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(3)</w:t>
            </w:r>
          </w:p>
        </w:tc>
        <w:tc>
          <w:tcPr>
            <w:tcW w:w="1845" w:type="dxa"/>
          </w:tcPr>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Milestone</w:t>
            </w:r>
          </w:p>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(2)</w:t>
            </w:r>
          </w:p>
        </w:tc>
        <w:tc>
          <w:tcPr>
            <w:tcW w:w="1864" w:type="dxa"/>
          </w:tcPr>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 xml:space="preserve">Benchmark </w:t>
            </w:r>
          </w:p>
          <w:p w:rsidR="009B7248" w:rsidRPr="00C0407B" w:rsidRDefault="009B7248" w:rsidP="00674C4A">
            <w:pPr>
              <w:spacing w:after="0"/>
              <w:rPr>
                <w:rFonts w:ascii="Times New Roman" w:hAnsi="Times New Roman" w:cs="Times New Roman"/>
              </w:rPr>
            </w:pPr>
            <w:r w:rsidRPr="00C0407B">
              <w:rPr>
                <w:rFonts w:ascii="Times New Roman" w:hAnsi="Times New Roman" w:cs="Times New Roman"/>
              </w:rPr>
              <w:t>(1)</w:t>
            </w:r>
          </w:p>
        </w:tc>
      </w:tr>
      <w:tr w:rsidR="009B7248" w:rsidRPr="00C0407B" w:rsidTr="005673A3">
        <w:tc>
          <w:tcPr>
            <w:tcW w:w="2167" w:type="dxa"/>
          </w:tcPr>
          <w:p w:rsidR="009B7248" w:rsidRPr="00C0407B" w:rsidRDefault="009B7248" w:rsidP="00674C4A">
            <w:pPr>
              <w:shd w:val="clear" w:color="auto" w:fill="FFFFFF"/>
              <w:spacing w:after="0"/>
              <w:ind w:right="360"/>
              <w:textAlignment w:val="baseline"/>
              <w:rPr>
                <w:rFonts w:ascii="Times New Roman" w:hAnsi="Times New Roman" w:cs="Times New Roman"/>
                <w:b/>
              </w:rPr>
            </w:pPr>
            <w:r w:rsidRPr="00C0407B">
              <w:rPr>
                <w:rFonts w:ascii="Times New Roman" w:hAnsi="Times New Roman" w:cs="Times New Roman"/>
                <w:b/>
              </w:rPr>
              <w:t xml:space="preserve">(ELO 1) </w:t>
            </w:r>
          </w:p>
          <w:p w:rsidR="009B7248" w:rsidRPr="00C0407B" w:rsidRDefault="009B7248" w:rsidP="00C742EA">
            <w:pPr>
              <w:shd w:val="clear" w:color="auto" w:fill="FFFFFF"/>
              <w:ind w:right="360"/>
              <w:textAlignment w:val="baseline"/>
              <w:rPr>
                <w:rFonts w:ascii="Times New Roman" w:hAnsi="Times New Roman" w:cs="Times New Roman"/>
              </w:rPr>
            </w:pPr>
            <w:r w:rsidRPr="00C0407B">
              <w:rPr>
                <w:rFonts w:ascii="Times New Roman" w:hAnsi="Times New Roman" w:cs="Times New Roman"/>
                <w:b/>
              </w:rPr>
              <w:t>Students demonstrate computational skills and familiarity with algebra and geometry</w:t>
            </w:r>
            <w:r w:rsidR="00C742EA">
              <w:rPr>
                <w:rFonts w:ascii="Times New Roman" w:hAnsi="Times New Roman" w:cs="Times New Roman"/>
                <w:b/>
              </w:rPr>
              <w:t>.</w:t>
            </w:r>
          </w:p>
        </w:tc>
        <w:tc>
          <w:tcPr>
            <w:tcW w:w="1813" w:type="dxa"/>
          </w:tcPr>
          <w:p w:rsidR="009B7248" w:rsidRPr="007A5092" w:rsidRDefault="003826BA" w:rsidP="00C742EA">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demonstrates sophisticated computational skills and understanding of algebra and geometry. </w:t>
            </w:r>
          </w:p>
        </w:tc>
        <w:tc>
          <w:tcPr>
            <w:tcW w:w="1887" w:type="dxa"/>
          </w:tcPr>
          <w:p w:rsidR="009B7248" w:rsidRPr="00C0407B" w:rsidRDefault="003826BA" w:rsidP="00C742EA">
            <w:pPr>
              <w:rPr>
                <w:rFonts w:ascii="Times New Roman" w:hAnsi="Times New Roman" w:cs="Times New Roman"/>
              </w:rPr>
            </w:pPr>
            <w:r>
              <w:rPr>
                <w:rFonts w:ascii="Times New Roman" w:eastAsia="MS Mincho" w:hAnsi="Times New Roman" w:cs="Times New Roman"/>
                <w:iCs/>
                <w:color w:val="000000"/>
              </w:rPr>
              <w:t xml:space="preserve">Student demonstrates satisfactory computational skills and understanding of algebra and geometry. </w:t>
            </w:r>
          </w:p>
        </w:tc>
        <w:tc>
          <w:tcPr>
            <w:tcW w:w="1845" w:type="dxa"/>
          </w:tcPr>
          <w:p w:rsidR="009B7248" w:rsidRPr="00C0407B" w:rsidRDefault="003826BA" w:rsidP="00C742EA">
            <w:pPr>
              <w:rPr>
                <w:rFonts w:ascii="Times New Roman" w:hAnsi="Times New Roman" w:cs="Times New Roman"/>
              </w:rPr>
            </w:pPr>
            <w:r>
              <w:rPr>
                <w:rFonts w:ascii="Times New Roman" w:eastAsia="MS Mincho" w:hAnsi="Times New Roman" w:cs="Times New Roman"/>
                <w:iCs/>
                <w:color w:val="000000"/>
              </w:rPr>
              <w:t xml:space="preserve">Student demonstrates computational skills and some familiarity with algebra and geometry. </w:t>
            </w:r>
          </w:p>
        </w:tc>
        <w:tc>
          <w:tcPr>
            <w:tcW w:w="1864" w:type="dxa"/>
          </w:tcPr>
          <w:p w:rsidR="009B7248" w:rsidRPr="00C0407B" w:rsidRDefault="003826BA" w:rsidP="00C742EA">
            <w:pPr>
              <w:rPr>
                <w:rFonts w:ascii="Times New Roman" w:eastAsia="MS Mincho" w:hAnsi="Times New Roman" w:cs="Times New Roman"/>
                <w:iCs/>
                <w:color w:val="000000"/>
              </w:rPr>
            </w:pPr>
            <w:r>
              <w:rPr>
                <w:rFonts w:ascii="Times New Roman" w:eastAsia="MS Mincho" w:hAnsi="Times New Roman" w:cs="Times New Roman"/>
                <w:iCs/>
                <w:color w:val="000000"/>
              </w:rPr>
              <w:t>Student demonstrates only basic computational skills and limited familiarity with algebra and geometry</w:t>
            </w:r>
            <w:r w:rsidR="00C742EA">
              <w:rPr>
                <w:rFonts w:ascii="Times New Roman" w:eastAsia="MS Mincho" w:hAnsi="Times New Roman" w:cs="Times New Roman"/>
                <w:iCs/>
                <w:color w:val="000000"/>
              </w:rPr>
              <w:t>.</w:t>
            </w:r>
            <w:r w:rsidR="009B7248" w:rsidRPr="00C0407B">
              <w:rPr>
                <w:rFonts w:ascii="Times New Roman" w:eastAsia="MS Mincho" w:hAnsi="Times New Roman" w:cs="Times New Roman"/>
                <w:iCs/>
                <w:color w:val="000000"/>
              </w:rPr>
              <w:t xml:space="preserve">  </w:t>
            </w:r>
          </w:p>
          <w:p w:rsidR="009B7248" w:rsidRPr="00C0407B" w:rsidRDefault="009B7248" w:rsidP="00D26C7B">
            <w:pPr>
              <w:rPr>
                <w:rFonts w:ascii="Times New Roman" w:hAnsi="Times New Roman" w:cs="Times New Roman"/>
              </w:rPr>
            </w:pPr>
          </w:p>
        </w:tc>
      </w:tr>
      <w:tr w:rsidR="00C742EA" w:rsidRPr="00C0407B" w:rsidTr="005673A3">
        <w:tc>
          <w:tcPr>
            <w:tcW w:w="2167" w:type="dxa"/>
          </w:tcPr>
          <w:p w:rsidR="00C742EA" w:rsidRDefault="00C742EA" w:rsidP="00674C4A">
            <w:pPr>
              <w:shd w:val="clear" w:color="auto" w:fill="FFFFFF"/>
              <w:spacing w:after="0"/>
              <w:ind w:right="360"/>
              <w:textAlignment w:val="baseline"/>
              <w:rPr>
                <w:rFonts w:ascii="Times New Roman" w:hAnsi="Times New Roman" w:cs="Times New Roman"/>
                <w:b/>
              </w:rPr>
            </w:pPr>
            <w:r>
              <w:rPr>
                <w:rFonts w:ascii="Times New Roman" w:hAnsi="Times New Roman" w:cs="Times New Roman"/>
                <w:b/>
              </w:rPr>
              <w:t>(ELO 2)</w:t>
            </w:r>
          </w:p>
          <w:p w:rsidR="00C742EA" w:rsidRPr="00C0407B" w:rsidRDefault="00C742EA" w:rsidP="00674C4A">
            <w:pPr>
              <w:shd w:val="clear" w:color="auto" w:fill="FFFFFF"/>
              <w:spacing w:after="0"/>
              <w:ind w:right="360"/>
              <w:textAlignment w:val="baseline"/>
              <w:rPr>
                <w:rFonts w:ascii="Times New Roman" w:hAnsi="Times New Roman" w:cs="Times New Roman"/>
                <w:b/>
              </w:rPr>
            </w:pPr>
            <w:r>
              <w:rPr>
                <w:rFonts w:ascii="Times New Roman" w:hAnsi="Times New Roman" w:cs="Times New Roman"/>
                <w:b/>
              </w:rPr>
              <w:t>Students apply these skills to practical problems.</w:t>
            </w:r>
          </w:p>
        </w:tc>
        <w:tc>
          <w:tcPr>
            <w:tcW w:w="1813" w:type="dxa"/>
          </w:tcPr>
          <w:p w:rsidR="00C742EA" w:rsidRDefault="00C742EA" w:rsidP="00D26C7B">
            <w:pPr>
              <w:rPr>
                <w:rFonts w:ascii="Times New Roman" w:eastAsia="MS Mincho" w:hAnsi="Times New Roman" w:cs="Times New Roman"/>
                <w:iCs/>
                <w:color w:val="000000"/>
              </w:rPr>
            </w:pPr>
            <w:r>
              <w:rPr>
                <w:rFonts w:ascii="Times New Roman" w:eastAsia="MS Mincho" w:hAnsi="Times New Roman" w:cs="Times New Roman"/>
                <w:iCs/>
                <w:color w:val="000000"/>
              </w:rPr>
              <w:t>Student demonstrates superior capability to apply these skills to practical problems.</w:t>
            </w:r>
          </w:p>
        </w:tc>
        <w:tc>
          <w:tcPr>
            <w:tcW w:w="1887" w:type="dxa"/>
          </w:tcPr>
          <w:p w:rsidR="00C742EA" w:rsidRPr="00C0407B" w:rsidRDefault="00C742EA" w:rsidP="00C742EA">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is able to adequately apply these skills to practical problems. </w:t>
            </w:r>
          </w:p>
          <w:p w:rsidR="00C742EA" w:rsidRDefault="00C742EA" w:rsidP="00D26C7B">
            <w:pPr>
              <w:rPr>
                <w:rFonts w:ascii="Times New Roman" w:eastAsia="MS Mincho" w:hAnsi="Times New Roman" w:cs="Times New Roman"/>
                <w:iCs/>
                <w:color w:val="000000"/>
              </w:rPr>
            </w:pPr>
          </w:p>
        </w:tc>
        <w:tc>
          <w:tcPr>
            <w:tcW w:w="1845" w:type="dxa"/>
          </w:tcPr>
          <w:p w:rsidR="00C742EA" w:rsidRPr="00C0407B" w:rsidRDefault="00C742EA" w:rsidP="00C742EA">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attempts to apply these skills to practical problems. </w:t>
            </w:r>
          </w:p>
          <w:p w:rsidR="00C742EA" w:rsidRDefault="00C742EA" w:rsidP="00D26C7B">
            <w:pPr>
              <w:rPr>
                <w:rFonts w:ascii="Times New Roman" w:eastAsia="MS Mincho" w:hAnsi="Times New Roman" w:cs="Times New Roman"/>
                <w:iCs/>
                <w:color w:val="000000"/>
              </w:rPr>
            </w:pPr>
          </w:p>
        </w:tc>
        <w:tc>
          <w:tcPr>
            <w:tcW w:w="1864" w:type="dxa"/>
          </w:tcPr>
          <w:p w:rsidR="00C742EA" w:rsidRPr="00C0407B" w:rsidRDefault="00C742EA" w:rsidP="00C742EA">
            <w:pPr>
              <w:rPr>
                <w:rFonts w:ascii="Times New Roman" w:eastAsia="MS Mincho" w:hAnsi="Times New Roman" w:cs="Times New Roman"/>
                <w:iCs/>
                <w:color w:val="000000"/>
              </w:rPr>
            </w:pPr>
            <w:r>
              <w:rPr>
                <w:rFonts w:ascii="Times New Roman" w:eastAsia="MS Mincho" w:hAnsi="Times New Roman" w:cs="Times New Roman"/>
                <w:iCs/>
                <w:color w:val="000000"/>
              </w:rPr>
              <w:t>Student is unable to apply these skills to practical problems.</w:t>
            </w:r>
          </w:p>
          <w:p w:rsidR="00C742EA" w:rsidRDefault="00C742EA" w:rsidP="00D26C7B">
            <w:pPr>
              <w:rPr>
                <w:rFonts w:ascii="Times New Roman" w:eastAsia="MS Mincho" w:hAnsi="Times New Roman" w:cs="Times New Roman"/>
                <w:iCs/>
                <w:color w:val="000000"/>
              </w:rPr>
            </w:pPr>
          </w:p>
        </w:tc>
      </w:tr>
    </w:tbl>
    <w:p w:rsidR="0006434D" w:rsidRPr="00C0407B" w:rsidRDefault="0006434D">
      <w:pPr>
        <w:rPr>
          <w:rFonts w:ascii="Times New Roman" w:hAnsi="Times New Roman" w:cs="Times New Roman"/>
        </w:rPr>
      </w:pPr>
    </w:p>
    <w:sectPr w:rsidR="0006434D" w:rsidRPr="00C0407B" w:rsidSect="00064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E058F"/>
    <w:multiLevelType w:val="hybridMultilevel"/>
    <w:tmpl w:val="D4CC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D048D"/>
    <w:multiLevelType w:val="hybridMultilevel"/>
    <w:tmpl w:val="758C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248"/>
    <w:rsid w:val="0006434D"/>
    <w:rsid w:val="000D4B1B"/>
    <w:rsid w:val="003826BA"/>
    <w:rsid w:val="00493A0F"/>
    <w:rsid w:val="00557489"/>
    <w:rsid w:val="00674C4A"/>
    <w:rsid w:val="007A5092"/>
    <w:rsid w:val="009B7248"/>
    <w:rsid w:val="00AC2177"/>
    <w:rsid w:val="00C0407B"/>
    <w:rsid w:val="00C742EA"/>
    <w:rsid w:val="00D05185"/>
    <w:rsid w:val="00D26C7B"/>
    <w:rsid w:val="00FA4F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24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26C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2016-11-14T15:19:00Z</dcterms:created>
  <dcterms:modified xsi:type="dcterms:W3CDTF">2016-11-14T15:19:00Z</dcterms:modified>
</cp:coreProperties>
</file>